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color w:val="002060"/>
          <w:sz w:val="48"/>
          <w:szCs w:val="48"/>
        </w:rPr>
      </w:pPr>
      <w:r w:rsidDel="00000000" w:rsidR="00000000" w:rsidRPr="00000000">
        <w:rPr>
          <w:color w:val="002060"/>
          <w:sz w:val="48"/>
          <w:szCs w:val="48"/>
          <w:rtl w:val="0"/>
        </w:rPr>
        <w:t xml:space="preserve">National Association for Hospital Education</w:t>
      </w:r>
    </w:p>
    <w:p w:rsidR="00000000" w:rsidDel="00000000" w:rsidP="00000000" w:rsidRDefault="00000000" w:rsidRPr="00000000" w14:paraId="00000002">
      <w:pPr>
        <w:pStyle w:val="Title"/>
        <w:jc w:val="center"/>
        <w:rPr>
          <w:color w:val="002060"/>
          <w:sz w:val="48"/>
          <w:szCs w:val="48"/>
        </w:rPr>
      </w:pPr>
      <w:r w:rsidDel="00000000" w:rsidR="00000000" w:rsidRPr="00000000">
        <w:rPr>
          <w:color w:val="002060"/>
          <w:sz w:val="48"/>
          <w:szCs w:val="48"/>
          <w:rtl w:val="0"/>
        </w:rPr>
        <w:t xml:space="preserve">Annual Report 2022-2023</w:t>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2881313</wp:posOffset>
            </wp:positionH>
            <wp:positionV relativeFrom="paragraph">
              <wp:posOffset>132396</wp:posOffset>
            </wp:positionV>
            <wp:extent cx="1090613" cy="1090613"/>
            <wp:effectExtent b="0" l="0" r="0" t="0"/>
            <wp:wrapNone/>
            <wp:docPr id="2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90613" cy="1090613"/>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jc w:val="center"/>
        <w:rPr>
          <w:color w:val="002060"/>
          <w:sz w:val="36"/>
          <w:szCs w:val="36"/>
        </w:rPr>
      </w:pPr>
      <w:r w:rsidDel="00000000" w:rsidR="00000000" w:rsidRPr="00000000">
        <w:rPr>
          <w:color w:val="002060"/>
          <w:sz w:val="36"/>
          <w:szCs w:val="36"/>
          <w:rtl w:val="0"/>
        </w:rPr>
        <w:t xml:space="preserve">6th November 2023</w:t>
      </w:r>
    </w:p>
    <w:p w:rsidR="00000000" w:rsidDel="00000000" w:rsidP="00000000" w:rsidRDefault="00000000" w:rsidRPr="00000000" w14:paraId="00000009">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Introduction</w:t>
      </w:r>
    </w:p>
    <w:p w:rsidR="00000000" w:rsidDel="00000000" w:rsidP="00000000" w:rsidRDefault="00000000" w:rsidRPr="00000000" w14:paraId="000000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National Association for Hospital Education is an organisation that supports professionals working in hospital education. This could be within a hospital school, medical PRU, CAMHS inpatient unit or as part of an outreach service such as home tuition. In fact, anyone who works with children and young people who are unable to attend school due to physical and / or mental health difficulties.</w:t>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growing organisation, we will continue to listen carefully to our members, and evolve to meet their needs going forward so we really value any feedback or ideas.</w:t>
      </w:r>
    </w:p>
    <w:p w:rsidR="00000000" w:rsidDel="00000000" w:rsidP="00000000" w:rsidRDefault="00000000" w:rsidRPr="00000000" w14:paraId="0000000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 have reviewed our aims during the year - see later in report for proposals</w:t>
      </w:r>
    </w:p>
    <w:p w:rsidR="00000000" w:rsidDel="00000000" w:rsidP="00000000" w:rsidRDefault="00000000" w:rsidRPr="00000000" w14:paraId="0000000D">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Company Information</w:t>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NAHE was incorporated under the Companies Act 2006, as a private company limited by guarantee on 17</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May 2019. The incorporation document and articles of association are available to view on the NAHE website.</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Company number </w:t>
        <w:tab/>
        <w:tab/>
        <w:t xml:space="preserve">12001886</w:t>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Registered address</w:t>
        <w:tab/>
        <w:tab/>
        <w:t xml:space="preserve">NAHE, c/o Willow Bank School, Simmins Crescent, Leicester, LE2 9AH</w:t>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Finance officer</w:t>
        <w:tab/>
        <w:tab/>
        <w:tab/>
        <w:t xml:space="preserve">Caroline Woods (</w:t>
      </w:r>
      <w:hyperlink r:id="rId8">
        <w:r w:rsidDel="00000000" w:rsidR="00000000" w:rsidRPr="00000000">
          <w:rPr>
            <w:rFonts w:ascii="Calibri" w:cs="Calibri" w:eastAsia="Calibri" w:hAnsi="Calibri"/>
            <w:color w:val="1155cc"/>
            <w:sz w:val="24"/>
            <w:szCs w:val="24"/>
            <w:u w:val="single"/>
            <w:rtl w:val="0"/>
          </w:rPr>
          <w:t xml:space="preserve">admin@nahe.org.uk</w:t>
        </w:r>
      </w:hyperlink>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Website</w:t>
        <w:tab/>
        <w:tab/>
        <w:tab/>
      </w:r>
      <w:hyperlink r:id="rId9">
        <w:r w:rsidDel="00000000" w:rsidR="00000000" w:rsidRPr="00000000">
          <w:rPr>
            <w:rFonts w:ascii="Calibri" w:cs="Calibri" w:eastAsia="Calibri" w:hAnsi="Calibri"/>
            <w:color w:val="4fb8c1"/>
            <w:sz w:val="24"/>
            <w:szCs w:val="24"/>
            <w:u w:val="single"/>
            <w:rtl w:val="0"/>
          </w:rPr>
          <w:t xml:space="preserve">www.nahe.org.uk</w:t>
        </w:r>
      </w:hyperlink>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Twitter</w:t>
        <w:tab/>
        <w:tab/>
        <w:tab/>
        <w:tab/>
        <w:t xml:space="preserve">@NAHEUK</w:t>
      </w:r>
    </w:p>
    <w:p w:rsidR="00000000" w:rsidDel="00000000" w:rsidP="00000000" w:rsidRDefault="00000000" w:rsidRPr="00000000" w14:paraId="00000014">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Our directors</w:t>
      </w:r>
    </w:p>
    <w:p w:rsidR="00000000" w:rsidDel="00000000" w:rsidP="00000000" w:rsidRDefault="00000000" w:rsidRPr="00000000" w14:paraId="000000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our directors, John Ivens, has retired from the board. We thank him for all of his valuable contributions to the organisation and the sector. John continues to be our representative on the Continuity in Education Journal.</w:t>
      </w:r>
    </w:p>
    <w:p w:rsidR="00000000" w:rsidDel="00000000" w:rsidP="00000000" w:rsidRDefault="00000000" w:rsidRPr="00000000" w14:paraId="0000001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roles of chair and vice-chair are reviewed on an annual basis at the AGM. Current directors in these positions are: </w:t>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Chair</w:t>
        <w:tab/>
        <w:tab/>
        <w:t xml:space="preserve">Cath Kitchen    Vice-Chairs</w:t>
        <w:tab/>
        <w:t xml:space="preserve">Janet Doherty and Jayne Franklin</w:t>
      </w:r>
    </w:p>
    <w:tbl>
      <w:tblPr>
        <w:tblStyle w:val="Table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552"/>
        <w:gridCol w:w="5833"/>
        <w:tblGridChange w:id="0">
          <w:tblGrid>
            <w:gridCol w:w="2405"/>
            <w:gridCol w:w="2552"/>
            <w:gridCol w:w="5833"/>
          </w:tblGrid>
        </w:tblGridChange>
      </w:tblGrid>
      <w:tr>
        <w:trPr>
          <w:cantSplit w:val="0"/>
          <w:tblHeader w:val="0"/>
        </w:trPr>
        <w:tc>
          <w:tcPr/>
          <w:p w:rsidR="00000000" w:rsidDel="00000000" w:rsidP="00000000" w:rsidRDefault="00000000" w:rsidRPr="00000000" w14:paraId="00000018">
            <w:pPr>
              <w:spacing w:after="0" w:line="240" w:lineRule="auto"/>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Name</w:t>
            </w:r>
          </w:p>
        </w:tc>
        <w:tc>
          <w:tcPr/>
          <w:p w:rsidR="00000000" w:rsidDel="00000000" w:rsidP="00000000" w:rsidRDefault="00000000" w:rsidRPr="00000000" w14:paraId="00000019">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Role</w:t>
            </w:r>
          </w:p>
        </w:tc>
        <w:tc>
          <w:tcPr/>
          <w:p w:rsidR="00000000" w:rsidDel="00000000" w:rsidP="00000000" w:rsidRDefault="00000000" w:rsidRPr="00000000" w14:paraId="0000001A">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Institution</w:t>
            </w:r>
          </w:p>
        </w:tc>
      </w:tr>
      <w:tr>
        <w:trPr>
          <w:cantSplit w:val="0"/>
          <w:tblHeader w:val="0"/>
        </w:trPr>
        <w:tc>
          <w:tcPr/>
          <w:p w:rsidR="00000000" w:rsidDel="00000000" w:rsidP="00000000" w:rsidRDefault="00000000" w:rsidRPr="00000000" w14:paraId="0000001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Bev Williamson</w:t>
            </w:r>
          </w:p>
        </w:tc>
        <w:tc>
          <w:tcPr/>
          <w:p w:rsidR="00000000" w:rsidDel="00000000" w:rsidP="00000000" w:rsidRDefault="00000000" w:rsidRPr="00000000" w14:paraId="0000001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1D">
            <w:pPr>
              <w:spacing w:after="0" w:line="240" w:lineRule="auto"/>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Sutton Tuition and Reintegration Service (STARS)</w:t>
            </w:r>
            <w:r w:rsidDel="00000000" w:rsidR="00000000" w:rsidRPr="00000000">
              <w:rPr>
                <w:rtl w:val="0"/>
              </w:rPr>
            </w:r>
          </w:p>
        </w:tc>
      </w:tr>
      <w:tr>
        <w:trPr>
          <w:cantSplit w:val="0"/>
          <w:tblHeader w:val="0"/>
        </w:trPr>
        <w:tc>
          <w:tcPr/>
          <w:p w:rsidR="00000000" w:rsidDel="00000000" w:rsidP="00000000" w:rsidRDefault="00000000" w:rsidRPr="00000000" w14:paraId="0000001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 Kitchen</w:t>
            </w:r>
          </w:p>
        </w:tc>
        <w:tc>
          <w:tcPr/>
          <w:p w:rsidR="00000000" w:rsidDel="00000000" w:rsidP="00000000" w:rsidRDefault="00000000" w:rsidRPr="00000000" w14:paraId="0000001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CEO</w:t>
            </w:r>
          </w:p>
        </w:tc>
        <w:tc>
          <w:tcPr/>
          <w:p w:rsidR="00000000" w:rsidDel="00000000" w:rsidP="00000000" w:rsidRDefault="00000000" w:rsidRPr="00000000" w14:paraId="0000002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Independent education consultant</w:t>
            </w:r>
          </w:p>
        </w:tc>
      </w:tr>
      <w:tr>
        <w:trPr>
          <w:cantSplit w:val="0"/>
          <w:tblHeader w:val="0"/>
        </w:trPr>
        <w:tc>
          <w:tcPr/>
          <w:p w:rsidR="00000000" w:rsidDel="00000000" w:rsidP="00000000" w:rsidRDefault="00000000" w:rsidRPr="00000000" w14:paraId="0000002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Cathy Heels</w:t>
            </w:r>
          </w:p>
        </w:tc>
        <w:tc>
          <w:tcPr/>
          <w:p w:rsidR="00000000" w:rsidDel="00000000" w:rsidP="00000000" w:rsidRDefault="00000000" w:rsidRPr="00000000" w14:paraId="0000002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Teacher</w:t>
            </w:r>
          </w:p>
        </w:tc>
        <w:tc>
          <w:tcPr/>
          <w:p w:rsidR="00000000" w:rsidDel="00000000" w:rsidP="00000000" w:rsidRDefault="00000000" w:rsidRPr="00000000" w14:paraId="0000002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Royal National Orthopaedic Hospital, Middlesex</w:t>
            </w:r>
          </w:p>
        </w:tc>
      </w:tr>
      <w:tr>
        <w:trPr>
          <w:cantSplit w:val="0"/>
          <w:tblHeader w:val="0"/>
        </w:trPr>
        <w:tc>
          <w:tcPr/>
          <w:p w:rsidR="00000000" w:rsidDel="00000000" w:rsidP="00000000" w:rsidRDefault="00000000" w:rsidRPr="00000000" w14:paraId="0000002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Gwyneth Stephen</w:t>
            </w:r>
          </w:p>
        </w:tc>
        <w:tc>
          <w:tcPr/>
          <w:p w:rsidR="00000000" w:rsidDel="00000000" w:rsidP="00000000" w:rsidRDefault="00000000" w:rsidRPr="00000000" w14:paraId="0000002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2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Medical Needs Teaching Service, Leeds</w:t>
            </w:r>
          </w:p>
        </w:tc>
      </w:tr>
      <w:tr>
        <w:trPr>
          <w:cantSplit w:val="0"/>
          <w:tblHeader w:val="0"/>
        </w:trPr>
        <w:tc>
          <w:tcPr/>
          <w:p w:rsidR="00000000" w:rsidDel="00000000" w:rsidP="00000000" w:rsidRDefault="00000000" w:rsidRPr="00000000" w14:paraId="0000002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Helen Casson</w:t>
            </w:r>
          </w:p>
        </w:tc>
        <w:tc>
          <w:tcPr/>
          <w:p w:rsidR="00000000" w:rsidDel="00000000" w:rsidP="00000000" w:rsidRDefault="00000000" w:rsidRPr="00000000" w14:paraId="0000002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Executive Principal</w:t>
            </w:r>
          </w:p>
        </w:tc>
        <w:tc>
          <w:tcPr/>
          <w:p w:rsidR="00000000" w:rsidDel="00000000" w:rsidP="00000000" w:rsidRDefault="00000000" w:rsidRPr="00000000" w14:paraId="0000002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Wave MAT</w:t>
            </w:r>
          </w:p>
        </w:tc>
      </w:tr>
      <w:tr>
        <w:trPr>
          <w:cantSplit w:val="0"/>
          <w:tblHeader w:val="0"/>
        </w:trPr>
        <w:tc>
          <w:tcPr/>
          <w:p w:rsidR="00000000" w:rsidDel="00000000" w:rsidP="00000000" w:rsidRDefault="00000000" w:rsidRPr="00000000" w14:paraId="0000002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James Gibson</w:t>
            </w:r>
          </w:p>
        </w:tc>
        <w:tc>
          <w:tcPr/>
          <w:p w:rsidR="00000000" w:rsidDel="00000000" w:rsidP="00000000" w:rsidRDefault="00000000" w:rsidRPr="00000000" w14:paraId="0000002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Executive Head Teacher</w:t>
            </w:r>
          </w:p>
        </w:tc>
        <w:tc>
          <w:tcPr/>
          <w:p w:rsidR="00000000" w:rsidDel="00000000" w:rsidP="00000000" w:rsidRDefault="00000000" w:rsidRPr="00000000" w14:paraId="0000002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Becton School (Sheffield)</w:t>
            </w:r>
          </w:p>
        </w:tc>
      </w:tr>
      <w:tr>
        <w:trPr>
          <w:cantSplit w:val="0"/>
          <w:tblHeader w:val="0"/>
        </w:trPr>
        <w:tc>
          <w:tcPr/>
          <w:p w:rsidR="00000000" w:rsidDel="00000000" w:rsidP="00000000" w:rsidRDefault="00000000" w:rsidRPr="00000000" w14:paraId="0000002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James Shryane</w:t>
            </w:r>
          </w:p>
        </w:tc>
        <w:tc>
          <w:tcPr/>
          <w:p w:rsidR="00000000" w:rsidDel="00000000" w:rsidP="00000000" w:rsidRDefault="00000000" w:rsidRPr="00000000" w14:paraId="0000002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2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Hospital and Outreach Education</w:t>
            </w:r>
          </w:p>
        </w:tc>
      </w:tr>
      <w:tr>
        <w:trPr>
          <w:cantSplit w:val="0"/>
          <w:tblHeader w:val="0"/>
        </w:trPr>
        <w:tc>
          <w:tcPr/>
          <w:p w:rsidR="00000000" w:rsidDel="00000000" w:rsidP="00000000" w:rsidRDefault="00000000" w:rsidRPr="00000000" w14:paraId="0000003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Janet Doherty</w:t>
            </w:r>
          </w:p>
        </w:tc>
        <w:tc>
          <w:tcPr/>
          <w:p w:rsidR="00000000" w:rsidDel="00000000" w:rsidP="00000000" w:rsidRDefault="00000000" w:rsidRPr="00000000" w14:paraId="0000003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3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Manchester Hospital School</w:t>
            </w:r>
          </w:p>
        </w:tc>
      </w:tr>
      <w:tr>
        <w:trPr>
          <w:cantSplit w:val="0"/>
          <w:tblHeader w:val="0"/>
        </w:trPr>
        <w:tc>
          <w:tcPr/>
          <w:p w:rsidR="00000000" w:rsidDel="00000000" w:rsidP="00000000" w:rsidRDefault="00000000" w:rsidRPr="00000000" w14:paraId="0000003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Jayne Franklin</w:t>
            </w:r>
          </w:p>
        </w:tc>
        <w:tc>
          <w:tcPr/>
          <w:p w:rsidR="00000000" w:rsidDel="00000000" w:rsidP="00000000" w:rsidRDefault="00000000" w:rsidRPr="00000000" w14:paraId="0000003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3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Children’s Hospital School at Great Ormond street &amp; UCH, London</w:t>
            </w:r>
          </w:p>
        </w:tc>
      </w:tr>
      <w:tr>
        <w:trPr>
          <w:cantSplit w:val="0"/>
          <w:tblHeader w:val="0"/>
        </w:trPr>
        <w:tc>
          <w:tcPr/>
          <w:p w:rsidR="00000000" w:rsidDel="00000000" w:rsidP="00000000" w:rsidRDefault="00000000" w:rsidRPr="00000000" w14:paraId="0000003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Karen Ingham</w:t>
            </w:r>
          </w:p>
        </w:tc>
        <w:tc>
          <w:tcPr/>
          <w:p w:rsidR="00000000" w:rsidDel="00000000" w:rsidP="00000000" w:rsidRDefault="00000000" w:rsidRPr="00000000" w14:paraId="0000003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3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Cloughside College</w:t>
            </w:r>
          </w:p>
        </w:tc>
      </w:tr>
      <w:tr>
        <w:trPr>
          <w:cantSplit w:val="0"/>
          <w:tblHeader w:val="0"/>
        </w:trPr>
        <w:tc>
          <w:tcPr/>
          <w:p w:rsidR="00000000" w:rsidDel="00000000" w:rsidP="00000000" w:rsidRDefault="00000000" w:rsidRPr="00000000" w14:paraId="0000003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Lyndsey Watson</w:t>
            </w:r>
          </w:p>
        </w:tc>
        <w:tc>
          <w:tcPr/>
          <w:p w:rsidR="00000000" w:rsidDel="00000000" w:rsidP="00000000" w:rsidRDefault="00000000" w:rsidRPr="00000000" w14:paraId="0000003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of Service</w:t>
            </w:r>
          </w:p>
        </w:tc>
        <w:tc>
          <w:tcPr/>
          <w:p w:rsidR="00000000" w:rsidDel="00000000" w:rsidP="00000000" w:rsidRDefault="00000000" w:rsidRPr="00000000" w14:paraId="0000003B">
            <w:pPr>
              <w:spacing w:after="0" w:line="240" w:lineRule="auto"/>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The Nightingale Home and Hospital Service</w:t>
            </w:r>
            <w:r w:rsidDel="00000000" w:rsidR="00000000" w:rsidRPr="00000000">
              <w:rPr>
                <w:rtl w:val="0"/>
              </w:rPr>
            </w:r>
          </w:p>
        </w:tc>
      </w:tr>
      <w:tr>
        <w:trPr>
          <w:cantSplit w:val="0"/>
          <w:tblHeader w:val="0"/>
        </w:trPr>
        <w:tc>
          <w:tcPr/>
          <w:p w:rsidR="00000000" w:rsidDel="00000000" w:rsidP="00000000" w:rsidRDefault="00000000" w:rsidRPr="00000000" w14:paraId="0000003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Stephen Deadman</w:t>
            </w:r>
          </w:p>
        </w:tc>
        <w:tc>
          <w:tcPr/>
          <w:p w:rsidR="00000000" w:rsidDel="00000000" w:rsidP="00000000" w:rsidRDefault="00000000" w:rsidRPr="00000000" w14:paraId="0000003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3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Children’s Hospital School, Leicester</w:t>
            </w:r>
          </w:p>
        </w:tc>
      </w:tr>
      <w:tr>
        <w:trPr>
          <w:cantSplit w:val="0"/>
          <w:tblHeader w:val="0"/>
        </w:trPr>
        <w:tc>
          <w:tcPr/>
          <w:p w:rsidR="00000000" w:rsidDel="00000000" w:rsidP="00000000" w:rsidRDefault="00000000" w:rsidRPr="00000000" w14:paraId="0000003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Steve Lowe</w:t>
            </w:r>
          </w:p>
        </w:tc>
        <w:tc>
          <w:tcPr/>
          <w:p w:rsidR="00000000" w:rsidDel="00000000" w:rsidP="00000000" w:rsidRDefault="00000000" w:rsidRPr="00000000" w14:paraId="0000004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4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Oxfordshire Hospital School</w:t>
            </w:r>
          </w:p>
        </w:tc>
      </w:tr>
      <w:tr>
        <w:trPr>
          <w:cantSplit w:val="0"/>
          <w:tblHeader w:val="0"/>
        </w:trPr>
        <w:tc>
          <w:tcPr/>
          <w:p w:rsidR="00000000" w:rsidDel="00000000" w:rsidP="00000000" w:rsidRDefault="00000000" w:rsidRPr="00000000" w14:paraId="0000004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Tara Bell</w:t>
            </w:r>
          </w:p>
        </w:tc>
        <w:tc>
          <w:tcPr/>
          <w:p w:rsidR="00000000" w:rsidDel="00000000" w:rsidP="00000000" w:rsidRDefault="00000000" w:rsidRPr="00000000" w14:paraId="0000004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Teacher</w:t>
            </w:r>
          </w:p>
        </w:tc>
        <w:tc>
          <w:tcPr/>
          <w:p w:rsidR="00000000" w:rsidDel="00000000" w:rsidP="00000000" w:rsidRDefault="00000000" w:rsidRPr="00000000" w14:paraId="0000004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Wandsworth Hospital and Home Teaching Service</w:t>
            </w:r>
          </w:p>
        </w:tc>
      </w:tr>
    </w:tbl>
    <w:p w:rsidR="00000000" w:rsidDel="00000000" w:rsidP="00000000" w:rsidRDefault="00000000" w:rsidRPr="00000000" w14:paraId="0000004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directors are supported by admin and finance support - Caroline Woods - who is based at Leicester Childrens Hospital School. Our sincere thanks go to her for her excellent contribution to the smooth running of the organisation.</w:t>
      </w:r>
    </w:p>
    <w:p w:rsidR="00000000" w:rsidDel="00000000" w:rsidP="00000000" w:rsidRDefault="00000000" w:rsidRPr="00000000" w14:paraId="0000004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Membership</w:t>
      </w:r>
    </w:p>
    <w:p w:rsidR="00000000" w:rsidDel="00000000" w:rsidP="00000000" w:rsidRDefault="00000000" w:rsidRPr="00000000" w14:paraId="00000049">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two classes of membership, individual and organisational, and details on how to join and what the benefits of membership are, can be found on the website. </w:t>
      </w:r>
    </w:p>
    <w:p w:rsidR="00000000" w:rsidDel="00000000" w:rsidP="00000000" w:rsidRDefault="00000000" w:rsidRPr="00000000" w14:paraId="0000004A">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 members include:</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teacher, education support staff and business staff who are working at or connected to a hospital education provider</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officer from a local authority providing the relevant statutory function for children with medical needs</w:t>
      </w:r>
    </w:p>
    <w:p w:rsidR="00000000" w:rsidDel="00000000" w:rsidP="00000000" w:rsidRDefault="00000000" w:rsidRPr="00000000" w14:paraId="0000004D">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professional who does not fall within either of the above categories but works in the provision of education to children in a similar organisation to a hospital education provider</w:t>
      </w:r>
    </w:p>
    <w:p w:rsidR="00000000" w:rsidDel="00000000" w:rsidP="00000000" w:rsidRDefault="00000000" w:rsidRPr="00000000" w14:paraId="0000004E">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Organisational members include:</w:t>
      </w:r>
    </w:p>
    <w:p w:rsidR="00000000" w:rsidDel="00000000" w:rsidP="00000000" w:rsidRDefault="00000000" w:rsidRPr="00000000" w14:paraId="0000004F">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Hospital schools</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PRUs</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CAMHS inpatient units</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Outreach, home tuition and community teaching services</w:t>
      </w:r>
    </w:p>
    <w:p w:rsidR="00000000" w:rsidDel="00000000" w:rsidP="00000000" w:rsidRDefault="00000000" w:rsidRPr="00000000" w14:paraId="00000053">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organisations responsible for providing education to children and young people with medical needs</w:t>
      </w:r>
    </w:p>
    <w:p w:rsidR="00000000" w:rsidDel="00000000" w:rsidP="00000000" w:rsidRDefault="00000000" w:rsidRPr="00000000" w14:paraId="0000005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28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organisation who does not fall within the above categories but works in the provision of education to children with medical needs</w:t>
      </w:r>
    </w:p>
    <w:p w:rsidR="00000000" w:rsidDel="00000000" w:rsidP="00000000" w:rsidRDefault="00000000" w:rsidRPr="00000000" w14:paraId="00000055">
      <w:pPr>
        <w:shd w:fill="ffffff" w:val="clear"/>
        <w:spacing w:after="28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Membership is renewed annually at the start of each academic year (September) and fees have been increased by £10 this year. Current annual membership costs are as follows:</w:t>
      </w:r>
    </w:p>
    <w:tbl>
      <w:tblPr>
        <w:tblStyle w:val="Table2"/>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1701"/>
        <w:tblGridChange w:id="0">
          <w:tblGrid>
            <w:gridCol w:w="4531"/>
            <w:gridCol w:w="1701"/>
          </w:tblGrid>
        </w:tblGridChange>
      </w:tblGrid>
      <w:tr>
        <w:trPr>
          <w:cantSplit w:val="0"/>
          <w:tblHeader w:val="0"/>
        </w:trPr>
        <w:tc>
          <w:tcPr/>
          <w:p w:rsidR="00000000" w:rsidDel="00000000" w:rsidP="00000000" w:rsidRDefault="00000000" w:rsidRPr="00000000" w14:paraId="0000005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Membership type</w:t>
            </w:r>
          </w:p>
        </w:tc>
        <w:tc>
          <w:tcPr/>
          <w:p w:rsidR="00000000" w:rsidDel="00000000" w:rsidP="00000000" w:rsidRDefault="00000000" w:rsidRPr="00000000" w14:paraId="0000005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Annual cost</w:t>
            </w:r>
          </w:p>
        </w:tc>
      </w:tr>
      <w:tr>
        <w:trPr>
          <w:cantSplit w:val="0"/>
          <w:tblHeader w:val="0"/>
        </w:trPr>
        <w:tc>
          <w:tcPr/>
          <w:p w:rsidR="00000000" w:rsidDel="00000000" w:rsidP="00000000" w:rsidRDefault="00000000" w:rsidRPr="00000000" w14:paraId="000000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w:t>
            </w:r>
          </w:p>
        </w:tc>
        <w:tc>
          <w:tcPr/>
          <w:p w:rsidR="00000000" w:rsidDel="00000000" w:rsidP="00000000" w:rsidRDefault="00000000" w:rsidRPr="00000000" w14:paraId="000000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w:t>
            </w:r>
          </w:p>
        </w:tc>
      </w:tr>
      <w:tr>
        <w:trPr>
          <w:cantSplit w:val="0"/>
          <w:tblHeader w:val="0"/>
        </w:trPr>
        <w:tc>
          <w:tcPr/>
          <w:p w:rsidR="00000000" w:rsidDel="00000000" w:rsidP="00000000" w:rsidRDefault="00000000" w:rsidRPr="00000000" w14:paraId="000000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Organisation (fewer than 10 staff)</w:t>
            </w:r>
          </w:p>
        </w:tc>
        <w:tc>
          <w:tcPr/>
          <w:p w:rsidR="00000000" w:rsidDel="00000000" w:rsidP="00000000" w:rsidRDefault="00000000" w:rsidRPr="00000000" w14:paraId="0000005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w:t>
            </w:r>
          </w:p>
        </w:tc>
      </w:tr>
      <w:tr>
        <w:trPr>
          <w:cantSplit w:val="0"/>
          <w:tblHeader w:val="0"/>
        </w:trPr>
        <w:tc>
          <w:tcPr/>
          <w:p w:rsidR="00000000" w:rsidDel="00000000" w:rsidP="00000000" w:rsidRDefault="00000000" w:rsidRPr="00000000" w14:paraId="0000005C">
            <w:pPr>
              <w:rPr/>
            </w:pPr>
            <w:r w:rsidDel="00000000" w:rsidR="00000000" w:rsidRPr="00000000">
              <w:rPr>
                <w:rFonts w:ascii="Calibri" w:cs="Calibri" w:eastAsia="Calibri" w:hAnsi="Calibri"/>
                <w:sz w:val="24"/>
                <w:szCs w:val="24"/>
                <w:rtl w:val="0"/>
              </w:rPr>
              <w:t xml:space="preserve">Organisation (between 10 and 30 staff)</w:t>
            </w:r>
            <w:r w:rsidDel="00000000" w:rsidR="00000000" w:rsidRPr="00000000">
              <w:rPr>
                <w:rtl w:val="0"/>
              </w:rPr>
            </w:r>
          </w:p>
        </w:tc>
        <w:tc>
          <w:tcPr/>
          <w:p w:rsidR="00000000" w:rsidDel="00000000" w:rsidP="00000000" w:rsidRDefault="00000000" w:rsidRPr="00000000" w14:paraId="000000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£120</w:t>
            </w:r>
          </w:p>
        </w:tc>
      </w:tr>
      <w:tr>
        <w:trPr>
          <w:cantSplit w:val="0"/>
          <w:tblHeader w:val="0"/>
        </w:trPr>
        <w:tc>
          <w:tcPr/>
          <w:p w:rsidR="00000000" w:rsidDel="00000000" w:rsidP="00000000" w:rsidRDefault="00000000" w:rsidRPr="00000000" w14:paraId="0000005E">
            <w:pPr>
              <w:rPr/>
            </w:pPr>
            <w:r w:rsidDel="00000000" w:rsidR="00000000" w:rsidRPr="00000000">
              <w:rPr>
                <w:rFonts w:ascii="Calibri" w:cs="Calibri" w:eastAsia="Calibri" w:hAnsi="Calibri"/>
                <w:sz w:val="24"/>
                <w:szCs w:val="24"/>
                <w:rtl w:val="0"/>
              </w:rPr>
              <w:t xml:space="preserve">Organisation (more than 30 staff)</w:t>
            </w:r>
            <w:r w:rsidDel="00000000" w:rsidR="00000000" w:rsidRPr="00000000">
              <w:rPr>
                <w:rtl w:val="0"/>
              </w:rPr>
            </w:r>
          </w:p>
        </w:tc>
        <w:tc>
          <w:tcPr/>
          <w:p w:rsidR="00000000" w:rsidDel="00000000" w:rsidP="00000000" w:rsidRDefault="00000000" w:rsidRPr="00000000" w14:paraId="000000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£180</w:t>
            </w:r>
          </w:p>
        </w:tc>
      </w:tr>
    </w:tbl>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We are just updating the membership list as we are sending out renewals - more information at the AGM</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1">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Finance</w:t>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accounts have been audited and submitted to Companies House for filing.  These were completed on 31st May when we have £4326. Main expenditures last year were our public liability insurance and in the next year, it will be the cost of redeveloping the website and keeping it up to date. </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find a copy of the accounts </w:t>
      </w:r>
      <w:hyperlink r:id="rId1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NAHE representation</w:t>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our aims is to raise awareness and influence policy at a national level. Members represent the NAHE at a number of local and National groups, some of which are detailed below:</w:t>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School Voice – Janet Doherty (Manchester)</w:t>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Conditions in Schools Alliance – Steve Lowe (Oxfordshire)</w:t>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SEND Forum – Stephen Deadman (Leicester)</w:t>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Challenge Partners Education Advisory group – Stephen Deadman (Leicester)</w:t>
      </w:r>
    </w:p>
    <w:p w:rsidR="00000000" w:rsidDel="00000000" w:rsidP="00000000" w:rsidRDefault="00000000" w:rsidRPr="00000000" w14:paraId="000000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DFE AP stakeholder reference group – Cath Kitchen (Northamptonshire)</w:t>
      </w:r>
    </w:p>
    <w:p w:rsidR="00000000" w:rsidDel="00000000" w:rsidP="00000000" w:rsidRDefault="00000000" w:rsidRPr="00000000" w14:paraId="000000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DfE AP Green Paper Implementation Group</w:t>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DFE Hospital Education funding group – Cath Kitchen, Jayne Franklin, Stephen Deadman, Gwyneth Stephen, Janet Doherty</w:t>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DfE Primary Headteachers Reference group - James Gibson</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DfE Secondary Headteachers Reference group - Steve Deadman</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APPG for alternative provision - Cath Kitchen</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Ofsted AP stakeholders group - Cath Kitchen</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AP research network - Cath Kitchen</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Ofqual – Cath Kitchen</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Through our representation on these national bodies and forums, we aim to bring the voice of the staff and pupils from our sector to any national discussions and decision making bodies to ensure that we are not ‘the forgotten sector’.</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Hospital Education Working Group</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publication of the SEND &amp; AP Green Paper this year, there has been more of a focus on AP, including hospital education. As the DfE have looked at the proposals, they have appreciated the different approaches that are required for our sector. Following the presentation of a rationale paper looking at the reasons why hospital education should be treated in a different manner to the main body of AP, the Hospital Education Working Group has been established. This group, jointly chaired by Cath Kitchen from NAHE and Hannah Mulligan, senior advisor in AP, is made up of a mixture of practitioners from our sector, local authority representatives, other DfE  personnel and health colleagues, and we will be reviewing the impact of the proposed changes on our sector and how we can support the piloting and implementation of some of the proposed changes. People from NAHE who are part of the group include Jayne Franklin, Janet Doherty, Steve Deadman, Mark Hilton, Tina Lovey, and Christopher Richardson. There will be several work streams running from the main strategic group and we are hoping to get as many of you as possible involved</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Member support</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NAHE weekly email updates aim to keep members up to date with the latest news and events from across the regions, along with what we feel would be useful resources. We aim to remember that NAHE is an organisation for ALL members of our staff and try to find information for everyone. </w:t>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Throughout the year, the directors respond to many enquiries that are sent via the website or NAHE admin email. These can be from members or other organisations seeking advice. The regular NAHE newsletter and emails provide updates for all members and allow individuals to make requests for information from the wider sector. We have had increasing requests from local authorities during this academic year who are seeking to update or improve their service for pupils with medical needs, as well as direct liaison with the Children’s Commissioner's Office, Centre for Social Justice, Ofqual, JCQ, and Youth Sports Trust. </w:t>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new NAHE website has been updated and relaunched.</w:t>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NAHE directors were invited to give presentations at various AP conferences, the APPG for Alternative Provision and the Festival of Education. </w:t>
      </w:r>
    </w:p>
    <w:p w:rsidR="00000000" w:rsidDel="00000000" w:rsidP="00000000" w:rsidRDefault="00000000" w:rsidRPr="00000000" w14:paraId="0000007F">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Network groups</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NAHE subject network groups continue to be developed and established as a key part of the organisation.  </w:t>
      </w:r>
      <w:r w:rsidDel="00000000" w:rsidR="00000000" w:rsidRPr="00000000">
        <w:rPr>
          <w:rFonts w:ascii="Calibri" w:cs="Calibri" w:eastAsia="Calibri" w:hAnsi="Calibri"/>
          <w:b w:val="1"/>
          <w:sz w:val="24"/>
          <w:szCs w:val="24"/>
          <w:rtl w:val="0"/>
        </w:rPr>
        <w:t xml:space="preserve">My sincere thanks go to all the members of staff who coordinate and run the subject networks, who willingly give up their time. </w:t>
      </w:r>
      <w:r w:rsidDel="00000000" w:rsidR="00000000" w:rsidRPr="00000000">
        <w:rPr>
          <w:rFonts w:ascii="Calibri" w:cs="Calibri" w:eastAsia="Calibri" w:hAnsi="Calibri"/>
          <w:sz w:val="24"/>
          <w:szCs w:val="24"/>
          <w:rtl w:val="0"/>
        </w:rPr>
        <w:t xml:space="preserve">Networking with like minded colleagues in similar settings is such a useful source of support, and the feedback we have had following these meetings has been overwhelmingly positive.  </w:t>
      </w:r>
    </w:p>
    <w:p w:rsidR="00000000" w:rsidDel="00000000" w:rsidP="00000000" w:rsidRDefault="00000000" w:rsidRPr="00000000" w14:paraId="00000081">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Peer review programme</w:t>
      </w:r>
    </w:p>
    <w:p w:rsidR="00000000" w:rsidDel="00000000" w:rsidP="00000000" w:rsidRDefault="00000000" w:rsidRPr="00000000" w14:paraId="00000082">
      <w:pPr>
        <w:keepNext w:val="1"/>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still our intention to introduce a peer review programme and this is on the action plan for this year. We are considering what framework we might use to make this a worthwhile task to undertake.</w:t>
      </w:r>
    </w:p>
    <w:p w:rsidR="00000000" w:rsidDel="00000000" w:rsidP="00000000" w:rsidRDefault="00000000" w:rsidRPr="00000000" w14:paraId="00000083">
      <w:pPr>
        <w:keepNext w:val="1"/>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Events and meetings 2023-24</w:t>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run several online meetings and events which continue to be well-received by members, enabling more of the hospital education community to participate. We are planning to continue with these and to start to introduce more face to face events over time.  These are in addition to any subject network meetings. There is now a full set of dates available for events on the website.</w:t>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Face to face events planned: Units United for CAMHs Units, Working on the wards day in Leicester, Leadership day and conference (Birmingham). My sincere thanks go to all staff that facilitated these events. </w:t>
      </w:r>
    </w:p>
    <w:p w:rsidR="00000000" w:rsidDel="00000000" w:rsidP="00000000" w:rsidRDefault="00000000" w:rsidRPr="00000000" w14:paraId="00000086">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Draft priorities for 2023-2024</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right="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 the organisation was formed, there have been significant changes in the education landscape and the expectations of the hospital education sector. As the organisation is moving from its ‘forming’ stage the directors felt that it would be timely to review the aims and objectives and look at some longer term planning. A group of directors met to discuss this and have developed a draft which you can find </w:t>
      </w:r>
      <w:hyperlink r:id="rId1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We welcome your feedback. </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right="0"/>
        <w:jc w:val="left"/>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right="0"/>
        <w:jc w:val="left"/>
        <w:rPr>
          <w:rFonts w:ascii="Lobster" w:cs="Lobster" w:eastAsia="Lobster" w:hAnsi="Lobster"/>
          <w:sz w:val="36"/>
          <w:szCs w:val="36"/>
        </w:rPr>
      </w:pPr>
      <w:r w:rsidDel="00000000" w:rsidR="00000000" w:rsidRPr="00000000">
        <w:rPr>
          <w:rFonts w:ascii="Lobster" w:cs="Lobster" w:eastAsia="Lobster" w:hAnsi="Lobster"/>
          <w:sz w:val="36"/>
          <w:szCs w:val="36"/>
          <w:rtl w:val="0"/>
        </w:rPr>
        <w:t xml:space="preserve">Cath Kitchen</w:t>
      </w:r>
    </w:p>
    <w:p w:rsidR="00000000" w:rsidDel="00000000" w:rsidP="00000000" w:rsidRDefault="00000000" w:rsidRPr="00000000" w14:paraId="0000008A">
      <w:pPr>
        <w:rPr>
          <w:rFonts w:ascii="Calibri" w:cs="Calibri" w:eastAsia="Calibri" w:hAnsi="Calibri"/>
          <w:b w:val="1"/>
          <w:i w:val="1"/>
          <w:sz w:val="24"/>
          <w:szCs w:val="24"/>
        </w:rPr>
      </w:pPr>
      <w:r w:rsidDel="00000000" w:rsidR="00000000" w:rsidRPr="00000000">
        <w:rPr>
          <w:rtl w:val="0"/>
        </w:rPr>
      </w:r>
    </w:p>
    <w:sectPr>
      <w:footerReference r:id="rId12" w:type="default"/>
      <w:footerReference r:id="rId13"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Lobster">
    <w:embedRegular w:fontKey="{00000000-0000-0000-0000-000000000000}" r:id="rId1" w:subsetted="0"/>
  </w:font>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17"/>
        <w:szCs w:val="17"/>
        <w:lang w:val="en_GB"/>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entury Gothic" w:cs="Century Gothic" w:eastAsia="Century Gothic" w:hAnsi="Century Gothic"/>
      <w:color w:val="b01513"/>
      <w:sz w:val="28"/>
      <w:szCs w:val="28"/>
    </w:rPr>
  </w:style>
  <w:style w:type="paragraph" w:styleId="Heading2">
    <w:name w:val="heading 2"/>
    <w:basedOn w:val="Normal"/>
    <w:next w:val="Normal"/>
    <w:pPr>
      <w:keepNext w:val="1"/>
      <w:keepLines w:val="1"/>
      <w:spacing w:after="0" w:before="160" w:line="240" w:lineRule="auto"/>
    </w:pPr>
    <w:rPr>
      <w:rFonts w:ascii="Century Gothic" w:cs="Century Gothic" w:eastAsia="Century Gothic" w:hAnsi="Century Gothic"/>
      <w:color w:val="404040"/>
      <w:sz w:val="24"/>
      <w:szCs w:val="24"/>
    </w:rPr>
  </w:style>
  <w:style w:type="paragraph" w:styleId="Heading3">
    <w:name w:val="heading 3"/>
    <w:basedOn w:val="Normal"/>
    <w:next w:val="Normal"/>
    <w:pPr>
      <w:keepNext w:val="1"/>
      <w:keepLines w:val="1"/>
      <w:spacing w:after="0" w:before="40" w:line="240" w:lineRule="auto"/>
    </w:pPr>
    <w:rPr>
      <w:rFonts w:ascii="Century Gothic" w:cs="Century Gothic" w:eastAsia="Century Gothic" w:hAnsi="Century Gothic"/>
      <w:color w:val="b01513"/>
      <w:sz w:val="22"/>
      <w:szCs w:val="22"/>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b w:val="1"/>
      <w:color w:val="000000"/>
      <w:sz w:val="20"/>
      <w:szCs w:val="20"/>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sz w:val="20"/>
      <w:szCs w:val="20"/>
    </w:rPr>
  </w:style>
  <w:style w:type="paragraph" w:styleId="Heading6">
    <w:name w:val="heading 6"/>
    <w:basedOn w:val="Normal"/>
    <w:next w:val="Normal"/>
    <w:pPr>
      <w:keepNext w:val="1"/>
      <w:keepLines w:val="1"/>
      <w:spacing w:after="0" w:before="160" w:lineRule="auto"/>
    </w:pPr>
    <w:rPr>
      <w:rFonts w:ascii="Century Gothic" w:cs="Century Gothic" w:eastAsia="Century Gothic" w:hAnsi="Century Gothic"/>
      <w:b w:val="1"/>
      <w:i w:val="1"/>
      <w:sz w:val="20"/>
      <w:szCs w:val="20"/>
    </w:rPr>
  </w:style>
  <w:style w:type="paragraph" w:styleId="Title">
    <w:name w:val="Title"/>
    <w:basedOn w:val="Normal"/>
    <w:next w:val="Normal"/>
    <w:pPr>
      <w:spacing w:after="0" w:line="240" w:lineRule="auto"/>
    </w:pPr>
    <w:rPr>
      <w:rFonts w:ascii="Century Gothic" w:cs="Century Gothic" w:eastAsia="Century Gothic" w:hAnsi="Century Gothic"/>
      <w:color w:val="b01513"/>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entury Gothic" w:cs="Century Gothic" w:eastAsia="Century Gothic" w:hAnsi="Century Gothic"/>
      <w:color w:val="b01513"/>
      <w:sz w:val="28"/>
      <w:szCs w:val="28"/>
    </w:rPr>
  </w:style>
  <w:style w:type="paragraph" w:styleId="Heading2">
    <w:name w:val="heading 2"/>
    <w:basedOn w:val="Normal"/>
    <w:next w:val="Normal"/>
    <w:pPr>
      <w:keepNext w:val="1"/>
      <w:keepLines w:val="1"/>
      <w:spacing w:after="0" w:before="160" w:line="240" w:lineRule="auto"/>
    </w:pPr>
    <w:rPr>
      <w:rFonts w:ascii="Century Gothic" w:cs="Century Gothic" w:eastAsia="Century Gothic" w:hAnsi="Century Gothic"/>
      <w:color w:val="404040"/>
      <w:sz w:val="24"/>
      <w:szCs w:val="24"/>
    </w:rPr>
  </w:style>
  <w:style w:type="paragraph" w:styleId="Heading3">
    <w:name w:val="heading 3"/>
    <w:basedOn w:val="Normal"/>
    <w:next w:val="Normal"/>
    <w:pPr>
      <w:keepNext w:val="1"/>
      <w:keepLines w:val="1"/>
      <w:spacing w:after="0" w:before="40" w:line="240" w:lineRule="auto"/>
    </w:pPr>
    <w:rPr>
      <w:rFonts w:ascii="Century Gothic" w:cs="Century Gothic" w:eastAsia="Century Gothic" w:hAnsi="Century Gothic"/>
      <w:color w:val="b01513"/>
      <w:sz w:val="22"/>
      <w:szCs w:val="22"/>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b w:val="1"/>
      <w:color w:val="000000"/>
      <w:sz w:val="20"/>
      <w:szCs w:val="20"/>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sz w:val="20"/>
      <w:szCs w:val="20"/>
    </w:rPr>
  </w:style>
  <w:style w:type="paragraph" w:styleId="Heading6">
    <w:name w:val="heading 6"/>
    <w:basedOn w:val="Normal"/>
    <w:next w:val="Normal"/>
    <w:pPr>
      <w:keepNext w:val="1"/>
      <w:keepLines w:val="1"/>
      <w:spacing w:after="0" w:before="160" w:lineRule="auto"/>
    </w:pPr>
    <w:rPr>
      <w:rFonts w:ascii="Century Gothic" w:cs="Century Gothic" w:eastAsia="Century Gothic" w:hAnsi="Century Gothic"/>
      <w:b w:val="1"/>
      <w:i w:val="1"/>
      <w:sz w:val="20"/>
      <w:szCs w:val="20"/>
    </w:rPr>
  </w:style>
  <w:style w:type="paragraph" w:styleId="Title">
    <w:name w:val="Title"/>
    <w:basedOn w:val="Normal"/>
    <w:next w:val="Normal"/>
    <w:pPr>
      <w:spacing w:after="0" w:line="240" w:lineRule="auto"/>
    </w:pPr>
    <w:rPr>
      <w:rFonts w:ascii="Century Gothic" w:cs="Century Gothic" w:eastAsia="Century Gothic" w:hAnsi="Century Gothic"/>
      <w:color w:val="b01513"/>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entury Gothic" w:cs="Century Gothic" w:eastAsia="Century Gothic" w:hAnsi="Century Gothic"/>
      <w:color w:val="b01513"/>
      <w:sz w:val="28"/>
      <w:szCs w:val="28"/>
    </w:rPr>
  </w:style>
  <w:style w:type="paragraph" w:styleId="Heading2">
    <w:name w:val="heading 2"/>
    <w:basedOn w:val="Normal"/>
    <w:next w:val="Normal"/>
    <w:pPr>
      <w:keepNext w:val="1"/>
      <w:keepLines w:val="1"/>
      <w:spacing w:after="0" w:before="160" w:line="240" w:lineRule="auto"/>
    </w:pPr>
    <w:rPr>
      <w:rFonts w:ascii="Century Gothic" w:cs="Century Gothic" w:eastAsia="Century Gothic" w:hAnsi="Century Gothic"/>
      <w:color w:val="404040"/>
      <w:sz w:val="24"/>
      <w:szCs w:val="24"/>
    </w:rPr>
  </w:style>
  <w:style w:type="paragraph" w:styleId="Heading3">
    <w:name w:val="heading 3"/>
    <w:basedOn w:val="Normal"/>
    <w:next w:val="Normal"/>
    <w:pPr>
      <w:keepNext w:val="1"/>
      <w:keepLines w:val="1"/>
      <w:spacing w:after="0" w:before="40" w:line="240" w:lineRule="auto"/>
    </w:pPr>
    <w:rPr>
      <w:rFonts w:ascii="Century Gothic" w:cs="Century Gothic" w:eastAsia="Century Gothic" w:hAnsi="Century Gothic"/>
      <w:color w:val="b01513"/>
      <w:sz w:val="22"/>
      <w:szCs w:val="22"/>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b w:val="1"/>
      <w:color w:val="000000"/>
      <w:sz w:val="20"/>
      <w:szCs w:val="20"/>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sz w:val="20"/>
      <w:szCs w:val="20"/>
    </w:rPr>
  </w:style>
  <w:style w:type="paragraph" w:styleId="Heading6">
    <w:name w:val="heading 6"/>
    <w:basedOn w:val="Normal"/>
    <w:next w:val="Normal"/>
    <w:pPr>
      <w:keepNext w:val="1"/>
      <w:keepLines w:val="1"/>
      <w:spacing w:after="0" w:before="160" w:lineRule="auto"/>
    </w:pPr>
    <w:rPr>
      <w:rFonts w:ascii="Century Gothic" w:cs="Century Gothic" w:eastAsia="Century Gothic" w:hAnsi="Century Gothic"/>
      <w:b w:val="1"/>
      <w:i w:val="1"/>
      <w:sz w:val="20"/>
      <w:szCs w:val="20"/>
    </w:rPr>
  </w:style>
  <w:style w:type="paragraph" w:styleId="Title">
    <w:name w:val="Title"/>
    <w:basedOn w:val="Normal"/>
    <w:next w:val="Normal"/>
    <w:pPr>
      <w:spacing w:after="0" w:line="240" w:lineRule="auto"/>
    </w:pPr>
    <w:rPr>
      <w:rFonts w:ascii="Century Gothic" w:cs="Century Gothic" w:eastAsia="Century Gothic" w:hAnsi="Century Gothic"/>
      <w:color w:val="b01513"/>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entury Gothic" w:cs="Century Gothic" w:eastAsia="Century Gothic" w:hAnsi="Century Gothic"/>
      <w:color w:val="b01513"/>
      <w:sz w:val="28"/>
      <w:szCs w:val="28"/>
    </w:rPr>
  </w:style>
  <w:style w:type="paragraph" w:styleId="Heading2">
    <w:name w:val="heading 2"/>
    <w:basedOn w:val="Normal"/>
    <w:next w:val="Normal"/>
    <w:pPr>
      <w:keepNext w:val="1"/>
      <w:keepLines w:val="1"/>
      <w:spacing w:after="0" w:before="160" w:line="240" w:lineRule="auto"/>
    </w:pPr>
    <w:rPr>
      <w:rFonts w:ascii="Century Gothic" w:cs="Century Gothic" w:eastAsia="Century Gothic" w:hAnsi="Century Gothic"/>
      <w:color w:val="404040"/>
      <w:sz w:val="24"/>
      <w:szCs w:val="24"/>
    </w:rPr>
  </w:style>
  <w:style w:type="paragraph" w:styleId="Heading3">
    <w:name w:val="heading 3"/>
    <w:basedOn w:val="Normal"/>
    <w:next w:val="Normal"/>
    <w:pPr>
      <w:keepNext w:val="1"/>
      <w:keepLines w:val="1"/>
      <w:spacing w:after="0" w:before="40" w:line="240" w:lineRule="auto"/>
    </w:pPr>
    <w:rPr>
      <w:rFonts w:ascii="Century Gothic" w:cs="Century Gothic" w:eastAsia="Century Gothic" w:hAnsi="Century Gothic"/>
      <w:color w:val="b01513"/>
      <w:sz w:val="22"/>
      <w:szCs w:val="22"/>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b w:val="1"/>
      <w:color w:val="000000"/>
      <w:sz w:val="20"/>
      <w:szCs w:val="20"/>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sz w:val="20"/>
      <w:szCs w:val="20"/>
    </w:rPr>
  </w:style>
  <w:style w:type="paragraph" w:styleId="Heading6">
    <w:name w:val="heading 6"/>
    <w:basedOn w:val="Normal"/>
    <w:next w:val="Normal"/>
    <w:pPr>
      <w:keepNext w:val="1"/>
      <w:keepLines w:val="1"/>
      <w:spacing w:after="0" w:before="160" w:lineRule="auto"/>
    </w:pPr>
    <w:rPr>
      <w:rFonts w:ascii="Century Gothic" w:cs="Century Gothic" w:eastAsia="Century Gothic" w:hAnsi="Century Gothic"/>
      <w:b w:val="1"/>
      <w:i w:val="1"/>
      <w:sz w:val="20"/>
      <w:szCs w:val="20"/>
    </w:rPr>
  </w:style>
  <w:style w:type="paragraph" w:styleId="Title">
    <w:name w:val="Title"/>
    <w:basedOn w:val="Normal"/>
    <w:next w:val="Normal"/>
    <w:pPr>
      <w:spacing w:after="0" w:line="240" w:lineRule="auto"/>
    </w:pPr>
    <w:rPr>
      <w:rFonts w:ascii="Century Gothic" w:cs="Century Gothic" w:eastAsia="Century Gothic" w:hAnsi="Century Gothic"/>
      <w:color w:val="b01513"/>
      <w:sz w:val="72"/>
      <w:szCs w:val="72"/>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40" w:before="400" w:line="240" w:lineRule="auto"/>
      <w:outlineLvl w:val="0"/>
    </w:pPr>
    <w:rPr>
      <w:rFonts w:asciiTheme="majorHAnsi" w:cstheme="majorBidi" w:eastAsiaTheme="majorEastAsia" w:hAnsiTheme="majorHAnsi"/>
      <w:color w:val="b01513" w:themeColor="accent1"/>
      <w:sz w:val="28"/>
      <w:szCs w:val="28"/>
    </w:rPr>
  </w:style>
  <w:style w:type="paragraph" w:styleId="Heading2">
    <w:name w:val="heading 2"/>
    <w:basedOn w:val="Normal"/>
    <w:next w:val="Normal"/>
    <w:link w:val="Heading2Char"/>
    <w:uiPriority w:val="9"/>
    <w:semiHidden w:val="1"/>
    <w:unhideWhenUsed w:val="1"/>
    <w:qFormat w:val="1"/>
    <w:pPr>
      <w:keepNext w:val="1"/>
      <w:keepLines w:val="1"/>
      <w:spacing w:after="0" w:before="160" w:line="240" w:lineRule="auto"/>
      <w:outlineLvl w:val="1"/>
    </w:pPr>
    <w:rPr>
      <w:rFonts w:asciiTheme="majorHAnsi" w:cstheme="majorBidi" w:eastAsiaTheme="majorEastAsia" w:hAnsiTheme="majorHAnsi"/>
      <w:color w:val="404040" w:themeColor="text1" w:themeTint="0000BF"/>
      <w:sz w:val="24"/>
      <w:szCs w:val="24"/>
    </w:rPr>
  </w:style>
  <w:style w:type="paragraph" w:styleId="Heading3">
    <w:name w:val="heading 3"/>
    <w:basedOn w:val="Normal"/>
    <w:next w:val="Normal"/>
    <w:link w:val="Heading3Char"/>
    <w:uiPriority w:val="9"/>
    <w:semiHidden w:val="1"/>
    <w:unhideWhenUsed w:val="1"/>
    <w:qFormat w:val="1"/>
    <w:pPr>
      <w:keepNext w:val="1"/>
      <w:keepLines w:val="1"/>
      <w:spacing w:after="0" w:before="40" w:line="240" w:lineRule="auto"/>
      <w:outlineLvl w:val="2"/>
    </w:pPr>
    <w:rPr>
      <w:rFonts w:asciiTheme="majorHAnsi" w:cstheme="majorBidi" w:eastAsiaTheme="majorEastAsia" w:hAnsiTheme="majorHAnsi"/>
      <w:color w:val="b01513" w:themeColor="accent1"/>
      <w:sz w:val="22"/>
      <w:szCs w:val="22"/>
    </w:rPr>
  </w:style>
  <w:style w:type="paragraph" w:styleId="Heading4">
    <w:name w:val="heading 4"/>
    <w:basedOn w:val="Normal"/>
    <w:next w:val="Normal"/>
    <w:link w:val="Heading4Char"/>
    <w:uiPriority w:val="9"/>
    <w:semiHidden w:val="1"/>
    <w:unhideWhenUsed w:val="1"/>
    <w:qFormat w:val="1"/>
    <w:pPr>
      <w:keepNext w:val="1"/>
      <w:keepLines w:val="1"/>
      <w:spacing w:after="0" w:before="160"/>
      <w:outlineLvl w:val="3"/>
    </w:pPr>
    <w:rPr>
      <w:rFonts w:asciiTheme="majorHAnsi" w:cstheme="majorBidi" w:eastAsiaTheme="majorEastAsia" w:hAnsiTheme="majorHAnsi"/>
      <w:b w:val="1"/>
      <w:bCs w:val="1"/>
      <w:color w:val="000000" w:themeColor="text1"/>
      <w:sz w:val="20"/>
      <w:szCs w:val="20"/>
    </w:rPr>
  </w:style>
  <w:style w:type="paragraph" w:styleId="Heading5">
    <w:name w:val="heading 5"/>
    <w:basedOn w:val="Normal"/>
    <w:next w:val="Normal"/>
    <w:link w:val="Heading5Char"/>
    <w:uiPriority w:val="9"/>
    <w:semiHidden w:val="1"/>
    <w:unhideWhenUsed w:val="1"/>
    <w:qFormat w:val="1"/>
    <w:pPr>
      <w:keepNext w:val="1"/>
      <w:keepLines w:val="1"/>
      <w:spacing w:after="0" w:before="40"/>
      <w:outlineLvl w:val="4"/>
    </w:pPr>
    <w:rPr>
      <w:rFonts w:asciiTheme="majorHAnsi" w:cstheme="majorBidi" w:eastAsiaTheme="majorEastAsia" w:hAnsiTheme="majorHAnsi"/>
      <w:sz w:val="20"/>
      <w:szCs w:val="20"/>
    </w:rPr>
  </w:style>
  <w:style w:type="paragraph" w:styleId="Heading6">
    <w:name w:val="heading 6"/>
    <w:basedOn w:val="Normal"/>
    <w:next w:val="Normal"/>
    <w:link w:val="Heading6Char"/>
    <w:uiPriority w:val="9"/>
    <w:semiHidden w:val="1"/>
    <w:unhideWhenUsed w:val="1"/>
    <w:qFormat w:val="1"/>
    <w:pPr>
      <w:keepNext w:val="1"/>
      <w:keepLines w:val="1"/>
      <w:spacing w:after="0" w:before="160"/>
      <w:outlineLvl w:val="5"/>
    </w:pPr>
    <w:rPr>
      <w:rFonts w:asciiTheme="majorHAnsi" w:cstheme="majorBidi" w:eastAsiaTheme="majorEastAsia" w:hAnsiTheme="majorHAnsi"/>
      <w:b w:val="1"/>
      <w:bCs w:val="1"/>
      <w:i w:val="1"/>
      <w:iCs w:val="1"/>
      <w:sz w:val="20"/>
      <w:szCs w:val="20"/>
    </w:rPr>
  </w:style>
  <w:style w:type="paragraph" w:styleId="Heading7">
    <w:name w:val="heading 7"/>
    <w:basedOn w:val="Normal"/>
    <w:next w:val="Normal"/>
    <w:link w:val="Heading7Char"/>
    <w:uiPriority w:val="9"/>
    <w:semiHidden w:val="1"/>
    <w:unhideWhenUsed w:val="1"/>
    <w:qFormat w:val="1"/>
    <w:pPr>
      <w:keepNext w:val="1"/>
      <w:keepLines w:val="1"/>
      <w:spacing w:after="0" w:before="40"/>
      <w:outlineLvl w:val="6"/>
    </w:pPr>
    <w:rPr>
      <w:rFonts w:asciiTheme="majorHAnsi" w:cstheme="majorBidi" w:eastAsiaTheme="majorEastAsia" w:hAnsiTheme="majorHAnsi"/>
      <w:i w:val="1"/>
      <w:iCs w:val="1"/>
      <w:color w:val="000000" w:themeColor="text1"/>
      <w:sz w:val="20"/>
      <w:szCs w:val="20"/>
    </w:rPr>
  </w:style>
  <w:style w:type="paragraph" w:styleId="Heading8">
    <w:name w:val="heading 8"/>
    <w:basedOn w:val="Normal"/>
    <w:next w:val="Normal"/>
    <w:link w:val="Heading8Char"/>
    <w:uiPriority w:val="9"/>
    <w:semiHidden w:val="1"/>
    <w:unhideWhenUsed w:val="1"/>
    <w:qFormat w:val="1"/>
    <w:pPr>
      <w:keepNext w:val="1"/>
      <w:keepLines w:val="1"/>
      <w:spacing w:after="0" w:before="120"/>
      <w:outlineLvl w:val="7"/>
    </w:pPr>
    <w:rPr>
      <w:rFonts w:asciiTheme="majorHAnsi" w:cstheme="majorBidi" w:eastAsiaTheme="majorEastAsia" w:hAnsiTheme="majorHAnsi"/>
      <w:b w:val="1"/>
      <w:bCs w:val="1"/>
      <w:color w:val="000000" w:themeColor="text1"/>
    </w:rPr>
  </w:style>
  <w:style w:type="paragraph" w:styleId="Heading9">
    <w:name w:val="heading 9"/>
    <w:basedOn w:val="Normal"/>
    <w:next w:val="Normal"/>
    <w:link w:val="Heading9Char"/>
    <w:uiPriority w:val="9"/>
    <w:semiHidden w:val="1"/>
    <w:unhideWhenUsed w:val="1"/>
    <w:qFormat w:val="1"/>
    <w:pPr>
      <w:keepNext w:val="1"/>
      <w:keepLines w:val="1"/>
      <w:spacing w:after="0" w:before="40"/>
      <w:outlineLvl w:val="8"/>
    </w:pPr>
    <w:rPr>
      <w:rFonts w:asciiTheme="majorHAnsi" w:cstheme="majorBidi" w:eastAsiaTheme="majorEastAsia" w:hAnsiTheme="majorHAnsi"/>
      <w:b w:val="1"/>
      <w:bCs w:val="1"/>
      <w:i w:val="1"/>
      <w:iCs w:val="1"/>
      <w:color w:val="000000" w:themeColor="tex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BookTitle">
    <w:name w:val="Book Title"/>
    <w:basedOn w:val="DefaultParagraphFont"/>
    <w:uiPriority w:val="33"/>
    <w:qFormat w:val="1"/>
    <w:rPr>
      <w:b w:val="1"/>
      <w:bCs w:val="1"/>
      <w:caps w:val="0"/>
      <w:smallCaps w:val="1"/>
      <w:spacing w:val="10"/>
    </w:rPr>
  </w:style>
  <w:style w:type="paragraph" w:styleId="Caption">
    <w:name w:val="caption"/>
    <w:basedOn w:val="Normal"/>
    <w:next w:val="Normal"/>
    <w:uiPriority w:val="35"/>
    <w:semiHidden w:val="1"/>
    <w:unhideWhenUsed w:val="1"/>
    <w:qFormat w:val="1"/>
    <w:pPr>
      <w:spacing w:line="240" w:lineRule="auto"/>
    </w:pPr>
    <w:rPr>
      <w:b w:val="1"/>
      <w:bCs w:val="1"/>
      <w:smallCaps w:val="1"/>
      <w:color w:val="595959" w:themeColor="text1" w:themeTint="0000A6"/>
      <w:spacing w:val="6"/>
    </w:rPr>
  </w:style>
  <w:style w:type="character" w:styleId="Emphasis">
    <w:name w:val="Emphasis"/>
    <w:basedOn w:val="DefaultParagraphFont"/>
    <w:uiPriority w:val="20"/>
    <w:qFormat w:val="1"/>
    <w:rPr>
      <w:i w:val="1"/>
      <w:iCs w:val="1"/>
      <w:color w:val="000000" w:themeColor="text1"/>
    </w:rPr>
  </w:style>
  <w:style w:type="character" w:styleId="Heading1Char" w:customStyle="1">
    <w:name w:val="Heading 1 Char"/>
    <w:basedOn w:val="DefaultParagraphFont"/>
    <w:link w:val="Heading1"/>
    <w:uiPriority w:val="9"/>
    <w:rPr>
      <w:rFonts w:asciiTheme="majorHAnsi" w:cstheme="majorBidi" w:eastAsiaTheme="majorEastAsia" w:hAnsiTheme="majorHAnsi"/>
      <w:color w:val="b01513" w:themeColor="accent1"/>
      <w:sz w:val="28"/>
      <w:szCs w:val="28"/>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color w:val="404040" w:themeColor="text1" w:themeTint="0000BF"/>
      <w:sz w:val="24"/>
      <w:szCs w:val="24"/>
    </w:rPr>
  </w:style>
  <w:style w:type="character" w:styleId="Heading3Char" w:customStyle="1">
    <w:name w:val="Heading 3 Char"/>
    <w:basedOn w:val="DefaultParagraphFont"/>
    <w:link w:val="Heading3"/>
    <w:uiPriority w:val="9"/>
    <w:semiHidden w:val="1"/>
    <w:rPr>
      <w:rFonts w:asciiTheme="majorHAnsi" w:cstheme="majorBidi" w:eastAsiaTheme="majorEastAsia" w:hAnsiTheme="majorHAnsi"/>
      <w:color w:val="b01513" w:themeColor="accent1"/>
      <w:sz w:val="22"/>
      <w:szCs w:val="22"/>
    </w:rPr>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b w:val="1"/>
      <w:bCs w:val="1"/>
      <w:color w:val="000000" w:themeColor="text1"/>
      <w:sz w:val="20"/>
      <w:szCs w:val="20"/>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sz w:val="20"/>
      <w:szCs w:val="20"/>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b w:val="1"/>
      <w:bCs w:val="1"/>
      <w:i w:val="1"/>
      <w:iCs w:val="1"/>
      <w:sz w:val="20"/>
      <w:szCs w:val="20"/>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i w:val="1"/>
      <w:iCs w:val="1"/>
      <w:color w:val="000000" w:themeColor="text1"/>
      <w:sz w:val="20"/>
      <w:szCs w:val="20"/>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b w:val="1"/>
      <w:bCs w:val="1"/>
      <w:color w:val="000000" w:themeColor="text1"/>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b w:val="1"/>
      <w:bCs w:val="1"/>
      <w:i w:val="1"/>
      <w:iCs w:val="1"/>
      <w:color w:val="000000" w:themeColor="text1"/>
    </w:rPr>
  </w:style>
  <w:style w:type="character" w:styleId="IntenseEmphasis">
    <w:name w:val="Intense Emphasis"/>
    <w:basedOn w:val="DefaultParagraphFont"/>
    <w:uiPriority w:val="21"/>
    <w:qFormat w:val="1"/>
    <w:rPr>
      <w:b w:val="1"/>
      <w:bCs w:val="1"/>
      <w:i w:val="1"/>
      <w:iCs w:val="1"/>
      <w:color w:val="auto"/>
    </w:rPr>
  </w:style>
  <w:style w:type="paragraph" w:styleId="IntenseQuote">
    <w:name w:val="Intense Quote"/>
    <w:basedOn w:val="Normal"/>
    <w:next w:val="Normal"/>
    <w:link w:val="IntenseQuoteChar"/>
    <w:uiPriority w:val="30"/>
    <w:qFormat w:val="1"/>
    <w:pPr>
      <w:pBdr>
        <w:left w:color="b01513" w:space="4" w:sz="36" w:themeColor="accent1" w:val="single"/>
      </w:pBdr>
      <w:spacing w:before="100" w:beforeAutospacing="1"/>
      <w:ind w:left="1224" w:right="1224"/>
    </w:pPr>
    <w:rPr>
      <w:color w:val="b01513" w:themeColor="accent1"/>
      <w:sz w:val="28"/>
      <w:szCs w:val="28"/>
    </w:rPr>
  </w:style>
  <w:style w:type="character" w:styleId="IntenseQuoteChar" w:customStyle="1">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val="1"/>
    <w:rPr>
      <w:b w:val="1"/>
      <w:bCs w:val="1"/>
      <w:caps w:val="0"/>
      <w:smallCaps w:val="1"/>
      <w:color w:val="auto"/>
      <w:spacing w:val="5"/>
      <w:u w:val="single"/>
    </w:rPr>
  </w:style>
  <w:style w:type="character" w:styleId="Hyperlink">
    <w:name w:val="Hyperlink"/>
    <w:basedOn w:val="DefaultParagraphFont"/>
    <w:uiPriority w:val="99"/>
    <w:unhideWhenUsed w:val="1"/>
    <w:rPr>
      <w:color w:val="4fb8c1" w:themeColor="text2" w:themeTint="000099"/>
      <w:u w:val="single"/>
    </w:rPr>
  </w:style>
  <w:style w:type="character" w:styleId="FollowedHyperlink">
    <w:name w:val="FollowedHyperlink"/>
    <w:basedOn w:val="DefaultParagraphFont"/>
    <w:uiPriority w:val="99"/>
    <w:semiHidden w:val="1"/>
    <w:unhideWhenUsed w:val="1"/>
    <w:rPr>
      <w:color w:val="9dffcb" w:themeColor="followedHyperlink"/>
      <w:u w:val="single"/>
    </w:rPr>
  </w:style>
  <w:style w:type="paragraph" w:styleId="NoSpacing">
    <w:name w:val="No Spacing"/>
    <w:link w:val="NoSpacingChar"/>
    <w:uiPriority w:val="1"/>
    <w:qFormat w:val="1"/>
    <w:pPr>
      <w:spacing w:after="0" w:line="240" w:lineRule="auto"/>
    </w:pPr>
  </w:style>
  <w:style w:type="character" w:styleId="NoSpacingChar" w:customStyle="1">
    <w:name w:val="No Spacing Char"/>
    <w:basedOn w:val="DefaultParagraphFont"/>
    <w:link w:val="NoSpacing"/>
    <w:uiPriority w:val="1"/>
  </w:style>
  <w:style w:type="paragraph" w:styleId="Quote">
    <w:name w:val="Quote"/>
    <w:basedOn w:val="Normal"/>
    <w:next w:val="Normal"/>
    <w:link w:val="QuoteChar"/>
    <w:uiPriority w:val="29"/>
    <w:qFormat w:val="1"/>
    <w:pPr>
      <w:spacing w:before="160"/>
      <w:ind w:left="864" w:right="864"/>
    </w:pPr>
    <w:rPr>
      <w:rFonts w:asciiTheme="majorHAnsi" w:cstheme="majorBidi" w:eastAsiaTheme="majorEastAsia" w:hAnsiTheme="majorHAnsi"/>
    </w:rPr>
  </w:style>
  <w:style w:type="character" w:styleId="QuoteChar" w:customStyle="1">
    <w:name w:val="Quote Char"/>
    <w:basedOn w:val="DefaultParagraphFont"/>
    <w:link w:val="Quote"/>
    <w:uiPriority w:val="29"/>
    <w:rPr>
      <w:rFonts w:asciiTheme="majorHAnsi" w:cstheme="majorBidi" w:eastAsiaTheme="majorEastAsia" w:hAnsiTheme="majorHAnsi"/>
    </w:rPr>
  </w:style>
  <w:style w:type="character" w:styleId="Strong">
    <w:name w:val="Strong"/>
    <w:basedOn w:val="DefaultParagraphFont"/>
    <w:uiPriority w:val="22"/>
    <w:qFormat w:val="1"/>
    <w:rPr>
      <w:b w:val="1"/>
      <w:bCs w:val="1"/>
    </w:rPr>
  </w:style>
  <w:style w:type="paragraph" w:styleId="Subtitle">
    <w:name w:val="Subtitle"/>
    <w:basedOn w:val="Normal"/>
    <w:next w:val="Normal"/>
    <w:link w:val="SubtitleChar"/>
    <w:uiPriority w:val="11"/>
    <w:qFormat w:val="1"/>
    <w:pPr>
      <w:numPr>
        <w:ilvl w:val="1"/>
      </w:numPr>
    </w:pPr>
    <w:rPr>
      <w:sz w:val="28"/>
      <w:szCs w:val="28"/>
    </w:rPr>
  </w:style>
  <w:style w:type="character" w:styleId="SubtitleChar" w:customStyle="1">
    <w:name w:val="Subtitle Char"/>
    <w:basedOn w:val="DefaultParagraphFont"/>
    <w:link w:val="Subtitle"/>
    <w:uiPriority w:val="11"/>
    <w:rPr>
      <w:sz w:val="28"/>
      <w:szCs w:val="28"/>
    </w:rPr>
  </w:style>
  <w:style w:type="character" w:styleId="SubtleEmphasis">
    <w:name w:val="Subtle Emphasis"/>
    <w:basedOn w:val="DefaultParagraphFont"/>
    <w:uiPriority w:val="19"/>
    <w:qFormat w:val="1"/>
    <w:rPr>
      <w:i w:val="1"/>
      <w:iCs w:val="1"/>
      <w:color w:val="595959" w:themeColor="text1" w:themeTint="0000A6"/>
    </w:rPr>
  </w:style>
  <w:style w:type="character" w:styleId="SubtleReference">
    <w:name w:val="Subtle Reference"/>
    <w:basedOn w:val="DefaultParagraphFont"/>
    <w:uiPriority w:val="31"/>
    <w:qFormat w:val="1"/>
    <w:rPr>
      <w:caps w:val="0"/>
      <w:smallCaps w:val="1"/>
      <w:color w:val="404040" w:themeColor="text1" w:themeTint="0000BF"/>
      <w:u w:color="7f7f7f" w:themeColor="text1" w:themeTint="000080" w:val="single"/>
    </w:rPr>
  </w:style>
  <w:style w:type="paragraph" w:styleId="Title">
    <w:name w:val="Title"/>
    <w:basedOn w:val="Normal"/>
    <w:next w:val="Normal"/>
    <w:link w:val="TitleChar"/>
    <w:uiPriority w:val="10"/>
    <w:qFormat w:val="1"/>
    <w:pPr>
      <w:spacing w:after="0" w:line="240" w:lineRule="auto"/>
      <w:contextualSpacing w:val="1"/>
    </w:pPr>
    <w:rPr>
      <w:rFonts w:asciiTheme="majorHAnsi" w:cstheme="majorBidi" w:eastAsiaTheme="majorEastAsia" w:hAnsiTheme="majorHAnsi"/>
      <w:color w:val="b01513" w:themeColor="accent1"/>
      <w:kern w:val="28"/>
      <w:sz w:val="72"/>
      <w:szCs w:val="72"/>
    </w:rPr>
  </w:style>
  <w:style w:type="character" w:styleId="TitleChar" w:customStyle="1">
    <w:name w:val="Title Char"/>
    <w:basedOn w:val="DefaultParagraphFont"/>
    <w:link w:val="Title"/>
    <w:uiPriority w:val="10"/>
    <w:rPr>
      <w:rFonts w:asciiTheme="majorHAnsi" w:cstheme="majorBidi" w:eastAsiaTheme="majorEastAsia" w:hAnsiTheme="majorHAnsi"/>
      <w:color w:val="b01513" w:themeColor="accent1"/>
      <w:kern w:val="28"/>
      <w:sz w:val="72"/>
      <w:szCs w:val="72"/>
    </w:rPr>
  </w:style>
  <w:style w:type="paragraph" w:styleId="ListParagraph">
    <w:name w:val="List Paragraph"/>
    <w:basedOn w:val="Normal"/>
    <w:link w:val="ListParagraphChar"/>
    <w:uiPriority w:val="34"/>
    <w:qFormat w:val="1"/>
    <w:pPr>
      <w:ind w:left="720"/>
      <w:contextualSpacing w:val="1"/>
    </w:pPr>
  </w:style>
  <w:style w:type="table" w:styleId="TableGrid">
    <w:name w:val="Table Grid"/>
    <w:basedOn w:val="TableNormal"/>
    <w:uiPriority w:val="59"/>
    <w:rsid w:val="000E00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basedOn w:val="DefaultParagraphFont"/>
    <w:link w:val="ListParagraph"/>
    <w:uiPriority w:val="34"/>
    <w:locked w:val="1"/>
    <w:rsid w:val="00E92728"/>
  </w:style>
  <w:style w:type="paragraph" w:styleId="NormalWeb">
    <w:name w:val="Normal (Web)"/>
    <w:basedOn w:val="Normal"/>
    <w:uiPriority w:val="99"/>
    <w:unhideWhenUsed w:val="1"/>
    <w:rsid w:val="00192B1D"/>
    <w:pPr>
      <w:spacing w:after="225" w:line="240" w:lineRule="auto"/>
    </w:pPr>
    <w:rPr>
      <w:rFonts w:ascii="Times New Roman" w:cs="Times New Roman" w:eastAsia="Times New Roman" w:hAnsi="Times New Roman"/>
      <w:sz w:val="24"/>
      <w:szCs w:val="24"/>
      <w:lang w:eastAsia="en-GB" w:val="en-GB"/>
    </w:rPr>
  </w:style>
  <w:style w:type="paragraph" w:styleId="BalloonText">
    <w:name w:val="Balloon Text"/>
    <w:basedOn w:val="Normal"/>
    <w:link w:val="BalloonTextChar"/>
    <w:uiPriority w:val="99"/>
    <w:semiHidden w:val="1"/>
    <w:unhideWhenUsed w:val="1"/>
    <w:rsid w:val="000C7AF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C7AFD"/>
    <w:rPr>
      <w:rFonts w:ascii="Segoe UI" w:cs="Segoe UI" w:hAnsi="Segoe UI"/>
      <w:sz w:val="18"/>
      <w:szCs w:val="18"/>
    </w:rPr>
  </w:style>
  <w:style w:type="character" w:styleId="CommentReference">
    <w:name w:val="annotation reference"/>
    <w:basedOn w:val="DefaultParagraphFont"/>
    <w:uiPriority w:val="99"/>
    <w:semiHidden w:val="1"/>
    <w:unhideWhenUsed w:val="1"/>
    <w:rsid w:val="00420F59"/>
    <w:rPr>
      <w:sz w:val="16"/>
      <w:szCs w:val="16"/>
    </w:rPr>
  </w:style>
  <w:style w:type="paragraph" w:styleId="CommentText">
    <w:name w:val="annotation text"/>
    <w:basedOn w:val="Normal"/>
    <w:link w:val="CommentTextChar"/>
    <w:uiPriority w:val="99"/>
    <w:semiHidden w:val="1"/>
    <w:unhideWhenUsed w:val="1"/>
    <w:rsid w:val="00420F59"/>
    <w:pPr>
      <w:spacing w:line="240" w:lineRule="auto"/>
    </w:pPr>
    <w:rPr>
      <w:sz w:val="20"/>
      <w:szCs w:val="20"/>
    </w:rPr>
  </w:style>
  <w:style w:type="character" w:styleId="CommentTextChar" w:customStyle="1">
    <w:name w:val="Comment Text Char"/>
    <w:basedOn w:val="DefaultParagraphFont"/>
    <w:link w:val="CommentText"/>
    <w:uiPriority w:val="99"/>
    <w:semiHidden w:val="1"/>
    <w:rsid w:val="00420F59"/>
    <w:rPr>
      <w:sz w:val="20"/>
      <w:szCs w:val="20"/>
    </w:rPr>
  </w:style>
  <w:style w:type="paragraph" w:styleId="CommentSubject">
    <w:name w:val="annotation subject"/>
    <w:basedOn w:val="CommentText"/>
    <w:next w:val="CommentText"/>
    <w:link w:val="CommentSubjectChar"/>
    <w:uiPriority w:val="99"/>
    <w:semiHidden w:val="1"/>
    <w:unhideWhenUsed w:val="1"/>
    <w:rsid w:val="00420F59"/>
    <w:rPr>
      <w:b w:val="1"/>
      <w:bCs w:val="1"/>
    </w:rPr>
  </w:style>
  <w:style w:type="character" w:styleId="CommentSubjectChar" w:customStyle="1">
    <w:name w:val="Comment Subject Char"/>
    <w:basedOn w:val="CommentTextChar"/>
    <w:link w:val="CommentSubject"/>
    <w:uiPriority w:val="99"/>
    <w:semiHidden w:val="1"/>
    <w:rsid w:val="00420F59"/>
    <w:rPr>
      <w:b w:val="1"/>
      <w:bCs w:val="1"/>
      <w:sz w:val="20"/>
      <w:szCs w:val="20"/>
    </w:rPr>
  </w:style>
  <w:style w:type="paragraph" w:styleId="Footer">
    <w:name w:val="footer"/>
    <w:basedOn w:val="Normal"/>
    <w:link w:val="FooterChar"/>
    <w:uiPriority w:val="99"/>
    <w:rsid w:val="00B75797"/>
    <w:pPr>
      <w:tabs>
        <w:tab w:val="center" w:pos="4153"/>
        <w:tab w:val="right" w:pos="8306"/>
      </w:tabs>
      <w:spacing w:after="0" w:line="240" w:lineRule="auto"/>
    </w:pPr>
    <w:rPr>
      <w:rFonts w:ascii="Times New Roman" w:cs="Times New Roman" w:eastAsia="Times New Roman" w:hAnsi="Times New Roman"/>
      <w:sz w:val="24"/>
      <w:szCs w:val="24"/>
      <w:lang w:eastAsia="x-none" w:val="x-none"/>
    </w:rPr>
  </w:style>
  <w:style w:type="character" w:styleId="FooterChar" w:customStyle="1">
    <w:name w:val="Footer Char"/>
    <w:basedOn w:val="DefaultParagraphFont"/>
    <w:link w:val="Footer"/>
    <w:uiPriority w:val="99"/>
    <w:rsid w:val="00B75797"/>
    <w:rPr>
      <w:rFonts w:ascii="Times New Roman" w:cs="Times New Roman" w:eastAsia="Times New Roman" w:hAnsi="Times New Roman"/>
      <w:sz w:val="24"/>
      <w:szCs w:val="24"/>
      <w:lang w:eastAsia="x-none" w:val="x-none"/>
    </w:rPr>
  </w:style>
  <w:style w:type="character" w:styleId="PageNumber">
    <w:name w:val="page number"/>
    <w:basedOn w:val="DefaultParagraphFont"/>
    <w:rsid w:val="00B75797"/>
  </w:style>
  <w:style w:type="character" w:styleId="UnresolvedMention">
    <w:name w:val="Unresolved Mention"/>
    <w:basedOn w:val="DefaultParagraphFont"/>
    <w:uiPriority w:val="99"/>
    <w:semiHidden w:val="1"/>
    <w:unhideWhenUsed w:val="1"/>
    <w:rsid w:val="0096186A"/>
    <w:rPr>
      <w:color w:val="605e5c"/>
      <w:shd w:color="auto" w:fill="e1dfdd" w:val="clear"/>
    </w:rPr>
  </w:style>
  <w:style w:type="paragraph" w:styleId="Subtitle">
    <w:name w:val="Subtitle"/>
    <w:basedOn w:val="Normal"/>
    <w:next w:val="Normal"/>
    <w:pPr/>
    <w:rPr>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LqfXqJh8s43_uH4jMZoPPHJm5-96kPzK/edit?usp=sharing&amp;ouid=115377288366261741819&amp;rtpof=true&amp;sd=true" TargetMode="External"/><Relationship Id="rId10" Type="http://schemas.openxmlformats.org/officeDocument/2006/relationships/hyperlink" Target="https://drive.google.com/file/d/1OE8yOQCBJ4L1GfjrdsbpGx_WoAjDZKxB/view?usp=sharing" TargetMode="Externa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admin@nah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9" Type="http://schemas.openxmlformats.org/officeDocument/2006/relationships/font" Target="fonts/CenturyGothic-boldItalic.ttf"/><Relationship Id="rId5" Type="http://schemas.openxmlformats.org/officeDocument/2006/relationships/font" Target="fonts/NotoSans-boldItalic.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3Sh/U9TESMq/zxj5rz9a/G6F1Q==">CgMxLjAyCGguZ2pkZ3hzOAByITFJYl93QlNiZDdNSnZWWF9iVGpLUjd2QnJURmpndlVoSg==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2020-10-12T06:53:00Z</dcterms:created>
  <dc:creator>Stephen Deadman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